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75" w:rsidRPr="00DB41AE" w:rsidRDefault="005036D4" w:rsidP="00DB41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ООО «РГМ-Нефть-Газ-Сервис»</w:t>
      </w:r>
    </w:p>
    <w:p w:rsidR="00F82475" w:rsidRPr="005036D4" w:rsidRDefault="00F82475" w:rsidP="00F82475">
      <w:pPr>
        <w:jc w:val="center"/>
        <w:rPr>
          <w:b/>
          <w:bCs/>
          <w:sz w:val="32"/>
          <w:szCs w:val="32"/>
        </w:rPr>
      </w:pPr>
    </w:p>
    <w:p w:rsidR="00F82475" w:rsidRPr="00DB41AE" w:rsidRDefault="00DB41AE" w:rsidP="00DB41AE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7839296E" wp14:editId="43F7607D">
            <wp:extent cx="3305175" cy="3295650"/>
            <wp:effectExtent l="0" t="0" r="0" b="0"/>
            <wp:docPr id="2" name="Рисунок 2" descr="C:\Users\Админ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75" w:rsidRPr="00F82475" w:rsidRDefault="00F82475" w:rsidP="00F82475">
      <w:pPr>
        <w:jc w:val="center"/>
        <w:rPr>
          <w:b/>
          <w:bCs/>
          <w:sz w:val="32"/>
          <w:szCs w:val="32"/>
        </w:rPr>
      </w:pPr>
      <w:r w:rsidRPr="00F82475">
        <w:rPr>
          <w:b/>
          <w:bCs/>
          <w:sz w:val="32"/>
          <w:szCs w:val="32"/>
        </w:rPr>
        <w:t xml:space="preserve">РЕГЛАМЕНТ </w:t>
      </w:r>
    </w:p>
    <w:p w:rsidR="00F82475" w:rsidRPr="00F82475" w:rsidRDefault="00F82475" w:rsidP="00F82475">
      <w:pPr>
        <w:jc w:val="center"/>
        <w:rPr>
          <w:b/>
          <w:bCs/>
          <w:sz w:val="32"/>
          <w:szCs w:val="32"/>
        </w:rPr>
      </w:pPr>
      <w:r w:rsidRPr="00F82475">
        <w:rPr>
          <w:b/>
          <w:bCs/>
          <w:sz w:val="32"/>
          <w:szCs w:val="32"/>
        </w:rPr>
        <w:t xml:space="preserve">выбора исполнителей строительно-монтажных работ </w:t>
      </w:r>
    </w:p>
    <w:p w:rsidR="00F82475" w:rsidRPr="00F82475" w:rsidRDefault="00F82475" w:rsidP="00F82475">
      <w:pPr>
        <w:jc w:val="center"/>
        <w:rPr>
          <w:b/>
          <w:bCs/>
          <w:sz w:val="32"/>
          <w:szCs w:val="32"/>
        </w:rPr>
      </w:pPr>
      <w:r w:rsidRPr="00F82475">
        <w:rPr>
          <w:b/>
          <w:bCs/>
          <w:sz w:val="32"/>
          <w:szCs w:val="32"/>
        </w:rPr>
        <w:t>в субъектах Российской Федерации</w:t>
      </w:r>
    </w:p>
    <w:p w:rsidR="00F82475" w:rsidRPr="00F82475" w:rsidRDefault="00F82475" w:rsidP="00F82475">
      <w:pPr>
        <w:rPr>
          <w:sz w:val="32"/>
          <w:szCs w:val="32"/>
        </w:rPr>
      </w:pPr>
      <w:r w:rsidRPr="00F82475">
        <w:rPr>
          <w:sz w:val="32"/>
          <w:szCs w:val="32"/>
        </w:rP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  <w:bookmarkStart w:id="0" w:name="_GoBack"/>
      <w:bookmarkEnd w:id="0"/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</w:t>
      </w:r>
    </w:p>
    <w:p w:rsidR="00F82475" w:rsidRDefault="00F82475" w:rsidP="00F82475">
      <w:r>
        <w:t xml:space="preserve">  </w:t>
      </w:r>
    </w:p>
    <w:p w:rsidR="00F82475" w:rsidRPr="006411E3" w:rsidRDefault="00F82475" w:rsidP="0064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1E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F82475" w:rsidRPr="00F82475" w:rsidRDefault="00F82475" w:rsidP="008B00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2475" w:rsidRPr="006411E3" w:rsidRDefault="00F82475" w:rsidP="0064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1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1 ОБЩИЕ СВЕДЕНИЯ ...........................................................................................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3</w:t>
      </w:r>
    </w:p>
    <w:p w:rsid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2 ТЕРМИНЫ И ОПРЕДЕЛЕНИЯ ..........................................................................</w:t>
      </w:r>
      <w:r w:rsidR="00C21E00">
        <w:rPr>
          <w:rFonts w:ascii="Times New Roman" w:hAnsi="Times New Roman" w:cs="Times New Roman"/>
          <w:sz w:val="24"/>
          <w:szCs w:val="24"/>
        </w:rPr>
        <w:t>3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3 ИНФОРМАЦИОННАЯ КАРТА 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4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4 ПОРЯДОК ПРОВЕДЕНИЯ ОТБОРА ПОТЕНЦИАЛЬНЫХ  ПОДРЯДЧИКОВ ..................................................................................................... </w:t>
      </w:r>
      <w:r w:rsidR="006411E3">
        <w:rPr>
          <w:rFonts w:ascii="Times New Roman" w:hAnsi="Times New Roman" w:cs="Times New Roman"/>
          <w:sz w:val="24"/>
          <w:szCs w:val="24"/>
        </w:rPr>
        <w:tab/>
      </w:r>
      <w:r w:rsidR="006411E3">
        <w:rPr>
          <w:rFonts w:ascii="Times New Roman" w:hAnsi="Times New Roman" w:cs="Times New Roman"/>
          <w:sz w:val="24"/>
          <w:szCs w:val="24"/>
        </w:rPr>
        <w:tab/>
      </w:r>
      <w:r w:rsidR="006411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1E00">
        <w:rPr>
          <w:rFonts w:ascii="Times New Roman" w:hAnsi="Times New Roman" w:cs="Times New Roman"/>
          <w:sz w:val="24"/>
          <w:szCs w:val="24"/>
        </w:rPr>
        <w:t>4-5</w:t>
      </w:r>
    </w:p>
    <w:p w:rsid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5 ТРЕБОВАНИЯ К ПОТЕНЦИАЛЬНЫМ ПОДРЯДЧИКАМ ............................ </w:t>
      </w:r>
      <w:r w:rsidR="006411E3">
        <w:rPr>
          <w:rFonts w:ascii="Times New Roman" w:hAnsi="Times New Roman" w:cs="Times New Roman"/>
          <w:sz w:val="24"/>
          <w:szCs w:val="24"/>
        </w:rPr>
        <w:t xml:space="preserve"> </w:t>
      </w:r>
      <w:r w:rsidR="00C21E00">
        <w:rPr>
          <w:rFonts w:ascii="Times New Roman" w:hAnsi="Times New Roman" w:cs="Times New Roman"/>
          <w:sz w:val="24"/>
          <w:szCs w:val="24"/>
        </w:rPr>
        <w:t>5-6</w:t>
      </w:r>
    </w:p>
    <w:p w:rsid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6 ДОКУМЕНТЫ, ПРЕДОСТАВЛЯЕМЫЕ В СОСТАВЕ ЗАЯВКИ НА УЧАСТИЕ В ПРЕДКВАЛИФИКАЦИИ ...............................................................</w:t>
      </w:r>
      <w:r w:rsidR="006411E3">
        <w:rPr>
          <w:rFonts w:ascii="Times New Roman" w:hAnsi="Times New Roman" w:cs="Times New Roman"/>
          <w:sz w:val="24"/>
          <w:szCs w:val="24"/>
        </w:rPr>
        <w:tab/>
      </w:r>
      <w:r w:rsidR="006411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21E00">
        <w:rPr>
          <w:rFonts w:ascii="Times New Roman" w:hAnsi="Times New Roman" w:cs="Times New Roman"/>
          <w:sz w:val="24"/>
          <w:szCs w:val="24"/>
        </w:rPr>
        <w:t>6-8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00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Приложение 1 ........................................................................................................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9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Приложение 2 ........................................................................................................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10-11</w:t>
      </w:r>
      <w:r w:rsidRPr="00F82475">
        <w:rPr>
          <w:rFonts w:ascii="Times New Roman" w:hAnsi="Times New Roman" w:cs="Times New Roman"/>
          <w:sz w:val="24"/>
          <w:szCs w:val="24"/>
        </w:rPr>
        <w:t xml:space="preserve"> Приложение 3 ........................................................................................................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12</w:t>
      </w:r>
      <w:r w:rsidRPr="00F82475">
        <w:rPr>
          <w:rFonts w:ascii="Times New Roman" w:hAnsi="Times New Roman" w:cs="Times New Roman"/>
          <w:sz w:val="24"/>
          <w:szCs w:val="24"/>
        </w:rPr>
        <w:t xml:space="preserve"> Приложение 4 ........................................................................................................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13</w:t>
      </w:r>
      <w:r w:rsidRPr="00F82475">
        <w:rPr>
          <w:rFonts w:ascii="Times New Roman" w:hAnsi="Times New Roman" w:cs="Times New Roman"/>
          <w:sz w:val="24"/>
          <w:szCs w:val="24"/>
        </w:rPr>
        <w:t xml:space="preserve"> Приложение 5 ........................................................................................................ </w:t>
      </w:r>
      <w:r w:rsidR="00C21E00">
        <w:rPr>
          <w:rFonts w:ascii="Times New Roman" w:hAnsi="Times New Roman" w:cs="Times New Roman"/>
          <w:sz w:val="24"/>
          <w:szCs w:val="24"/>
        </w:rPr>
        <w:t>14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F82475" w:rsidRDefault="00F82475" w:rsidP="00F82475">
      <w:pPr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E3" w:rsidRPr="00F82475" w:rsidRDefault="006411E3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F82475" w:rsidRDefault="00F82475" w:rsidP="00641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lastRenderedPageBreak/>
        <w:t>Регламент выбора исполнителей строительно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2475">
        <w:rPr>
          <w:rFonts w:ascii="Times New Roman" w:hAnsi="Times New Roman" w:cs="Times New Roman"/>
          <w:sz w:val="24"/>
          <w:szCs w:val="24"/>
        </w:rPr>
        <w:t>монтажных работ в субъектах Российской Федерации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F82475" w:rsidRDefault="00F82475" w:rsidP="00F82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t>1 ОБЩИЕ СВЕДЕНИЯ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1.1. Настоящий документ регламентирует порядок проведения предварительной квалификации Потенциальных подрядчиков и выбор подрядчика строительно-монтажных работ для </w:t>
      </w:r>
      <w:r w:rsidR="00487A10" w:rsidRPr="004560E5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="00C02E59" w:rsidRPr="004560E5">
        <w:rPr>
          <w:rFonts w:ascii="Times New Roman" w:hAnsi="Times New Roman" w:cs="Times New Roman"/>
          <w:b/>
          <w:bCs/>
          <w:sz w:val="24"/>
          <w:szCs w:val="24"/>
        </w:rPr>
        <w:t xml:space="preserve"> «РГМ-Нефть-Газ-Сервис»</w:t>
      </w:r>
      <w:r w:rsidRPr="00F82475">
        <w:rPr>
          <w:rFonts w:ascii="Times New Roman" w:hAnsi="Times New Roman" w:cs="Times New Roman"/>
          <w:sz w:val="24"/>
          <w:szCs w:val="24"/>
        </w:rPr>
        <w:t xml:space="preserve"> (далее – Заказчик). 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1.2. Сведения о потенциальных подрядчиках, прошедших предварительный отбор, будут включены в формируемый Заказчиком Реестр Потенциальных подрядчиков. 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1.3. Включение Заказчиком Потенциального подрядчика в Реестр Потенциальных подрядчиков не является основанием для дальнейшего заключения Договора. 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F82475" w:rsidRDefault="00F82475" w:rsidP="00F82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t>2 ТЕРМИНЫ И ОПРЕДЕЛЕНИЯ</w:t>
      </w:r>
    </w:p>
    <w:p w:rsidR="00F82475" w:rsidRDefault="00F82475" w:rsidP="008D0A63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  <w:r w:rsidRPr="00F82475">
        <w:rPr>
          <w:rFonts w:ascii="Times New Roman" w:hAnsi="Times New Roman" w:cs="Times New Roman"/>
          <w:b/>
          <w:bCs/>
          <w:sz w:val="24"/>
          <w:szCs w:val="24"/>
        </w:rPr>
        <w:t>Предварительная квалификация</w:t>
      </w:r>
      <w:r w:rsidRPr="00F82475">
        <w:rPr>
          <w:rFonts w:ascii="Times New Roman" w:hAnsi="Times New Roman" w:cs="Times New Roman"/>
          <w:sz w:val="24"/>
          <w:szCs w:val="24"/>
        </w:rPr>
        <w:t xml:space="preserve"> (далее предквалификация) – деятельность Заказчика по выбору потенциальных подрядчиков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475">
        <w:rPr>
          <w:rFonts w:ascii="Times New Roman" w:hAnsi="Times New Roman" w:cs="Times New Roman"/>
          <w:sz w:val="24"/>
          <w:szCs w:val="24"/>
        </w:rPr>
        <w:t>исполнителей строительно-монтажных работ и формированию Реестра потенциальных подрядчиков.</w:t>
      </w:r>
    </w:p>
    <w:p w:rsidR="0029662B" w:rsidRDefault="00F82475" w:rsidP="006411E3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F82475">
        <w:rPr>
          <w:rFonts w:ascii="Times New Roman" w:hAnsi="Times New Roman" w:cs="Times New Roman"/>
          <w:sz w:val="24"/>
          <w:szCs w:val="24"/>
        </w:rPr>
        <w:t xml:space="preserve"> – организация, указанная в разделе 3 «ИНФОРМАЦИОННАЯ КАРТА».</w:t>
      </w:r>
    </w:p>
    <w:p w:rsidR="00F82475" w:rsidRDefault="00F82475" w:rsidP="006411E3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t>Потенциальный подрядчик</w:t>
      </w:r>
      <w:r w:rsidRPr="00F82475">
        <w:rPr>
          <w:rFonts w:ascii="Times New Roman" w:hAnsi="Times New Roman" w:cs="Times New Roman"/>
          <w:sz w:val="24"/>
          <w:szCs w:val="24"/>
        </w:rPr>
        <w:t xml:space="preserve"> – любое юридическое лицо или несколько юридических лиц, выступающих на стороне одного Потенциального подрядчика,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Потенциального подрядчика, в том числе индивидуальный предприниматель или несколько индивидуальных предпринимателей, выступающих на стороне одного Потенциального подрядчика, который соответствует (которые соответствуют) основным требованиям, установленным настоящим Регламентом с целью обеспечения предварительного отбора подрядчиков, способных своевременно и качественно выполнять работы определѐнного вида, сведения о которых содержатся в Реестре потенциальных подрядчиков. </w:t>
      </w:r>
    </w:p>
    <w:p w:rsidR="00F82475" w:rsidRDefault="00F82475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t>Заявка на включение в реестр потенциальных подрядчиков</w:t>
      </w:r>
      <w:r w:rsidRPr="00F82475">
        <w:rPr>
          <w:rFonts w:ascii="Times New Roman" w:hAnsi="Times New Roman" w:cs="Times New Roman"/>
          <w:sz w:val="24"/>
          <w:szCs w:val="24"/>
        </w:rPr>
        <w:t xml:space="preserve"> – комплект документов, требования к содержанию, форме, оформлению и составу которых установлены настоящим Регламентом, предоставляемый Заказчику Потенциальным подрядчиком, в целях участия в предквалификации. </w:t>
      </w:r>
    </w:p>
    <w:p w:rsidR="00F82475" w:rsidRPr="00F82475" w:rsidRDefault="00F82475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t>Реестр потенциальных подрядчиков</w:t>
      </w:r>
      <w:r w:rsidRPr="00F82475">
        <w:rPr>
          <w:rFonts w:ascii="Times New Roman" w:hAnsi="Times New Roman" w:cs="Times New Roman"/>
          <w:sz w:val="24"/>
          <w:szCs w:val="24"/>
        </w:rPr>
        <w:t xml:space="preserve"> – реестр, содержащий сведения о потенциальных подрядчиках. 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6E" w:rsidRDefault="0033686E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A63" w:rsidRDefault="008D0A63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F82475" w:rsidRDefault="00F82475" w:rsidP="00F82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475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2966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82475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5"/>
        <w:gridCol w:w="5106"/>
      </w:tblGrid>
      <w:tr w:rsidR="00F82475" w:rsidTr="00F82475">
        <w:tc>
          <w:tcPr>
            <w:tcW w:w="988" w:type="dxa"/>
          </w:tcPr>
          <w:p w:rsidR="00F82475" w:rsidRPr="006411E3" w:rsidRDefault="00F82475" w:rsidP="0064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F82475" w:rsidRPr="006411E3" w:rsidRDefault="00F82475" w:rsidP="0064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:rsidR="00F82475" w:rsidRPr="006411E3" w:rsidRDefault="00F82475" w:rsidP="0064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6" w:type="dxa"/>
          </w:tcPr>
          <w:p w:rsidR="00F82475" w:rsidRPr="006411E3" w:rsidRDefault="00F82475" w:rsidP="0064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  <w:p w:rsidR="00F82475" w:rsidRPr="006411E3" w:rsidRDefault="00F82475" w:rsidP="00641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475" w:rsidTr="00F82475">
        <w:tc>
          <w:tcPr>
            <w:tcW w:w="988" w:type="dxa"/>
          </w:tcPr>
          <w:p w:rsidR="00F82475" w:rsidRDefault="00F82475" w:rsidP="0029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F82475" w:rsidRPr="006411E3" w:rsidRDefault="00F82475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проведения процедуры</w:t>
            </w:r>
          </w:p>
        </w:tc>
        <w:tc>
          <w:tcPr>
            <w:tcW w:w="5106" w:type="dxa"/>
          </w:tcPr>
          <w:p w:rsidR="00F82475" w:rsidRP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Предквалификация  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5" w:rsidTr="00F82475">
        <w:tc>
          <w:tcPr>
            <w:tcW w:w="988" w:type="dxa"/>
          </w:tcPr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F82475" w:rsidRPr="006411E3" w:rsidRDefault="00F82475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Заказчике</w:t>
            </w:r>
          </w:p>
        </w:tc>
        <w:tc>
          <w:tcPr>
            <w:tcW w:w="5106" w:type="dxa"/>
          </w:tcPr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наименование: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29662B" w:rsidRDefault="0029662B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662B" w:rsidRDefault="0029662B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9662B" w:rsidRDefault="0029662B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Общий адрес электронной почты: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9662B" w:rsidRDefault="0029662B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29662B">
              <w:rPr>
                <w:rFonts w:ascii="Times New Roman" w:hAnsi="Times New Roman" w:cs="Times New Roman"/>
                <w:sz w:val="24"/>
                <w:szCs w:val="24"/>
              </w:rPr>
              <w:t>:___________________________________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5" w:rsidTr="00F82475">
        <w:tc>
          <w:tcPr>
            <w:tcW w:w="988" w:type="dxa"/>
          </w:tcPr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F82475" w:rsidRPr="006411E3" w:rsidRDefault="00F82475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работ, услуг, в отношении которых формируется Реестр потенциальных подрядчиков</w:t>
            </w:r>
          </w:p>
        </w:tc>
        <w:tc>
          <w:tcPr>
            <w:tcW w:w="5106" w:type="dxa"/>
          </w:tcPr>
          <w:p w:rsidR="00F82475" w:rsidRDefault="00F82475" w:rsidP="00A6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Предквалификация проводится для формирования перечня потенциальных подрядчиков - </w:t>
            </w:r>
            <w:r w:rsidRPr="00E725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строительно-монтажных работ </w:t>
            </w:r>
          </w:p>
        </w:tc>
      </w:tr>
      <w:tr w:rsidR="00F82475" w:rsidTr="00F82475">
        <w:tc>
          <w:tcPr>
            <w:tcW w:w="988" w:type="dxa"/>
          </w:tcPr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F82475" w:rsidRPr="006411E3" w:rsidRDefault="00F82475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предоставления  Заявок на включение в реестр потенциальных подрядчиков  </w:t>
            </w:r>
          </w:p>
        </w:tc>
        <w:tc>
          <w:tcPr>
            <w:tcW w:w="5106" w:type="dxa"/>
          </w:tcPr>
          <w:p w:rsidR="00F82475" w:rsidRDefault="006411E3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</w:tr>
      <w:tr w:rsidR="00F82475" w:rsidTr="00F82475">
        <w:tc>
          <w:tcPr>
            <w:tcW w:w="988" w:type="dxa"/>
          </w:tcPr>
          <w:p w:rsidR="00F82475" w:rsidRDefault="006411E3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F82475" w:rsidRPr="006411E3" w:rsidRDefault="006411E3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предварительной предквалификации потенциальных подрядчиков</w:t>
            </w:r>
          </w:p>
        </w:tc>
        <w:tc>
          <w:tcPr>
            <w:tcW w:w="5106" w:type="dxa"/>
          </w:tcPr>
          <w:p w:rsidR="006411E3" w:rsidRPr="00F82475" w:rsidRDefault="003569DB" w:rsidP="0064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411E3" w:rsidRPr="003569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69D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6411E3" w:rsidRPr="003569DB">
              <w:rPr>
                <w:rFonts w:ascii="Times New Roman" w:hAnsi="Times New Roman" w:cs="Times New Roman"/>
                <w:sz w:val="24"/>
                <w:szCs w:val="24"/>
              </w:rPr>
              <w:t>) год</w:t>
            </w:r>
            <w:r w:rsidR="006411E3"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475" w:rsidTr="00F82475">
        <w:tc>
          <w:tcPr>
            <w:tcW w:w="988" w:type="dxa"/>
          </w:tcPr>
          <w:p w:rsidR="00F82475" w:rsidRDefault="006411E3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F82475" w:rsidRPr="006411E3" w:rsidRDefault="006411E3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потенциальным подрядчикам</w:t>
            </w:r>
          </w:p>
        </w:tc>
        <w:tc>
          <w:tcPr>
            <w:tcW w:w="5106" w:type="dxa"/>
          </w:tcPr>
          <w:p w:rsidR="00F82475" w:rsidRDefault="006411E3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разделе 5 настоящего Регламента  </w:t>
            </w:r>
          </w:p>
        </w:tc>
      </w:tr>
      <w:tr w:rsidR="00F82475" w:rsidTr="00F82475">
        <w:tc>
          <w:tcPr>
            <w:tcW w:w="988" w:type="dxa"/>
          </w:tcPr>
          <w:p w:rsidR="00F82475" w:rsidRDefault="006411E3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F82475" w:rsidRPr="006411E3" w:rsidRDefault="006411E3" w:rsidP="00F824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подтверждающих требования к потенциальным подрядчикам</w:t>
            </w:r>
          </w:p>
        </w:tc>
        <w:tc>
          <w:tcPr>
            <w:tcW w:w="5106" w:type="dxa"/>
          </w:tcPr>
          <w:p w:rsidR="006411E3" w:rsidRPr="00F82475" w:rsidRDefault="006411E3" w:rsidP="00641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Указан в разделе 6 настоящего Регламента </w:t>
            </w:r>
          </w:p>
          <w:p w:rsidR="00F82475" w:rsidRDefault="00F82475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6411E3" w:rsidRDefault="00F82475" w:rsidP="00641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1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515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11E3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ПРОВЕДЕНИЯ ОТБОРА ПОТЕНЦИАЛЬНЫХ ПОДРЯДЧИКОВ</w:t>
      </w:r>
    </w:p>
    <w:p w:rsidR="006411E3" w:rsidRDefault="00F82475" w:rsidP="00E72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Заявка на включение в реестр потенциальных подрядчиков со всеми приложениями предоставляется Заказчику по электронной почте в формате *.pdf или *.tiff</w:t>
      </w:r>
      <w:r w:rsidR="00C424D8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E3" w:rsidRDefault="00F82475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В ходе рассмотрения заявок Заказчик имеет право направить потенциальным подрядчикам запросы по разъяснению любых положений заявки, не изменяющие ее условий. </w:t>
      </w:r>
    </w:p>
    <w:p w:rsidR="0033686E" w:rsidRDefault="00F82475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Также Заказчик вправе направить потенциальным подрядчикам запросы об исправлении выявленных в ходе рассмотрения арифметических и грамматических ошибок </w:t>
      </w:r>
      <w:r w:rsidRPr="00F82475">
        <w:rPr>
          <w:rFonts w:ascii="Times New Roman" w:hAnsi="Times New Roman" w:cs="Times New Roman"/>
          <w:sz w:val="24"/>
          <w:szCs w:val="24"/>
        </w:rPr>
        <w:lastRenderedPageBreak/>
        <w:t xml:space="preserve">в документах, представленных в составе заявки, и направлении Заказчику исправленных документов. В случае непредставления потенциальным подрядчикам исправленных документов, Заказчиком применяются следующие правила: </w:t>
      </w:r>
    </w:p>
    <w:p w:rsidR="0033686E" w:rsidRDefault="0033686E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475" w:rsidRPr="00F82475">
        <w:rPr>
          <w:rFonts w:ascii="Times New Roman" w:hAnsi="Times New Roman" w:cs="Times New Roman"/>
          <w:sz w:val="24"/>
          <w:szCs w:val="24"/>
        </w:rPr>
        <w:t xml:space="preserve"> при наличии разночтений между информацией, указанной в заявке, и информацией, указанной в документах, прилагаемых к заявке, преимущество имеет информация, указанная в заявке; </w:t>
      </w:r>
    </w:p>
    <w:p w:rsidR="0033686E" w:rsidRDefault="0033686E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475" w:rsidRPr="00F82475">
        <w:rPr>
          <w:rFonts w:ascii="Times New Roman" w:hAnsi="Times New Roman" w:cs="Times New Roman"/>
          <w:sz w:val="24"/>
          <w:szCs w:val="24"/>
        </w:rPr>
        <w:t xml:space="preserve"> при наличии разночтений между суммой, указанной словами, и суммой, указанной цифрами, преимущество имеет сумма, указанная словами;  </w:t>
      </w:r>
    </w:p>
    <w:p w:rsidR="0033686E" w:rsidRDefault="0033686E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475" w:rsidRPr="00F82475">
        <w:rPr>
          <w:rFonts w:ascii="Times New Roman" w:hAnsi="Times New Roman" w:cs="Times New Roman"/>
          <w:sz w:val="24"/>
          <w:szCs w:val="24"/>
        </w:rPr>
        <w:t xml:space="preserve"> при наличии разночтений между ценой, указанной в заявке и ценой, получаемой путем суммирования итоговых сумм по каждой строке, преимущество имеет итоговая цена, указанная в заявке. </w:t>
      </w:r>
    </w:p>
    <w:p w:rsidR="0033686E" w:rsidRDefault="00F82475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Кроме того, Заказчик вправе запросить представление дополнительных, непредставленных, представленных не в полном объеме или в нечитаемом виде документов, подлежащих представлению в соответствии с настоящим Регламентом.  </w:t>
      </w:r>
    </w:p>
    <w:p w:rsidR="00F82475" w:rsidRPr="00F82475" w:rsidRDefault="00F82475" w:rsidP="006411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По окончании процедуры отбора заказчик уведомляет подрядчика об итогах прохождения процедуры предквалификации по </w:t>
      </w:r>
      <w:r w:rsidRPr="00C424D8">
        <w:rPr>
          <w:rFonts w:ascii="Times New Roman" w:hAnsi="Times New Roman" w:cs="Times New Roman"/>
          <w:sz w:val="24"/>
          <w:szCs w:val="24"/>
        </w:rPr>
        <w:t>электронной почте в срок не позднее одного месяца с даты подачи заявки.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75" w:rsidRPr="00733CFA" w:rsidRDefault="00F82475" w:rsidP="00733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CF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515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3CFA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ПОТЕНЦИАЛЬНЫМ ПОДРЯДЧИКАМ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5.1</w:t>
      </w:r>
      <w:r w:rsidR="006515CC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Соответствие потенциального подрядчика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предквалификации. 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5.2</w:t>
      </w:r>
      <w:r w:rsidR="006515CC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Непроведение ликвидации потенциального подрядчика - юридического лица и отсутствие решения арбитражного суда о признании потенциального подрядчика - юридического лица, индивидуального предпринимателя банкротом и об открытии конкурсного производства. 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5.3</w:t>
      </w:r>
      <w:r w:rsidR="006515CC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Неприостановление деятельности потенциального подрядчика в порядке, предусмотренном Кодексом Российской Федерации об административных правонарушениях, на день подачи заявки на участие в предквалификации. 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5.4</w:t>
      </w:r>
      <w:r w:rsidR="006515CC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Отсутствие у потенциального подрядчика задолженности по начисленным налогам, сборам и иным обязательным платежам в бюджеты любого уровня или государственные внебюджетные фонды, размер которой превышает </w:t>
      </w:r>
      <w:r w:rsidRPr="00C424D8">
        <w:rPr>
          <w:rFonts w:ascii="Times New Roman" w:hAnsi="Times New Roman" w:cs="Times New Roman"/>
          <w:sz w:val="24"/>
          <w:szCs w:val="24"/>
        </w:rPr>
        <w:t>25 (двадцать</w:t>
      </w:r>
      <w:r w:rsidRPr="00F82475">
        <w:rPr>
          <w:rFonts w:ascii="Times New Roman" w:hAnsi="Times New Roman" w:cs="Times New Roman"/>
          <w:sz w:val="24"/>
          <w:szCs w:val="24"/>
        </w:rPr>
        <w:t xml:space="preserve"> пять) процентов балансовой стоимости активов потенциального подрядчика по данным бухгалтерской отчетности за последний завершенный отчетный период. Потенциальный подрядчик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предквалификации не принято. 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5.5</w:t>
      </w:r>
      <w:r w:rsidR="00D13E91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Отсутствие сведений о потенциальном подрядчике в реестре недобросовестных поставщиков, предусмотренном </w:t>
      </w:r>
      <w:r w:rsidRPr="003569DB">
        <w:rPr>
          <w:rFonts w:ascii="Times New Roman" w:hAnsi="Times New Roman" w:cs="Times New Roman"/>
          <w:sz w:val="24"/>
          <w:szCs w:val="24"/>
        </w:rPr>
        <w:t>ФЗ РФ от 21.07.2005</w:t>
      </w:r>
      <w:r w:rsidRPr="00F82475">
        <w:rPr>
          <w:rFonts w:ascii="Times New Roman" w:hAnsi="Times New Roman" w:cs="Times New Roman"/>
          <w:sz w:val="24"/>
          <w:szCs w:val="24"/>
        </w:rPr>
        <w:t xml:space="preserve"> г. № 94-ФЗ и ФЗ РФ от 18.07.2011 г. № 223-ФЗ. </w:t>
      </w:r>
    </w:p>
    <w:p w:rsidR="003E5C6B" w:rsidRPr="003E5C6B" w:rsidRDefault="003E5C6B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 Не применение к потенциальному подрядчику норм</w:t>
      </w:r>
      <w:r w:rsidR="00EC76F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3E5C6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ДБО.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</w:t>
      </w:r>
      <w:r w:rsidR="003E5C6B">
        <w:rPr>
          <w:rFonts w:ascii="Times New Roman" w:hAnsi="Times New Roman" w:cs="Times New Roman"/>
          <w:sz w:val="24"/>
          <w:szCs w:val="24"/>
        </w:rPr>
        <w:t>7</w:t>
      </w:r>
      <w:r w:rsidR="00D13E91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Срок существования организации потенциального подрядчика – не </w:t>
      </w:r>
      <w:r w:rsidRPr="00AF3218">
        <w:rPr>
          <w:rFonts w:ascii="Times New Roman" w:hAnsi="Times New Roman" w:cs="Times New Roman"/>
          <w:sz w:val="24"/>
          <w:szCs w:val="24"/>
        </w:rPr>
        <w:t>менее 3 (трех) лет</w:t>
      </w:r>
      <w:r w:rsidRPr="00F82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</w:t>
      </w:r>
      <w:r w:rsidR="003E5C6B">
        <w:rPr>
          <w:rFonts w:ascii="Times New Roman" w:hAnsi="Times New Roman" w:cs="Times New Roman"/>
          <w:sz w:val="24"/>
          <w:szCs w:val="24"/>
        </w:rPr>
        <w:t>8</w:t>
      </w:r>
      <w:r w:rsidR="00D13E91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Наличие у потенциального подрядчика в штате сотрудников, имеющих достаточную квалификацию для выполнения отдельных видов строительно-монтажных работ аналогичных предмету предквалификации. Подтверждается предоставлением соответствующей выписки из штатного расписания, надлежащим образом заверенной отделом кадров. </w:t>
      </w:r>
    </w:p>
    <w:p w:rsidR="00733CFA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</w:t>
      </w:r>
      <w:r w:rsidR="003E5C6B">
        <w:rPr>
          <w:rFonts w:ascii="Times New Roman" w:hAnsi="Times New Roman" w:cs="Times New Roman"/>
          <w:sz w:val="24"/>
          <w:szCs w:val="24"/>
        </w:rPr>
        <w:t>9</w:t>
      </w:r>
      <w:r w:rsidR="00D13E91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  <w:r w:rsidRPr="00C424D8">
        <w:rPr>
          <w:rFonts w:ascii="Times New Roman" w:hAnsi="Times New Roman" w:cs="Times New Roman"/>
          <w:sz w:val="24"/>
          <w:szCs w:val="24"/>
        </w:rPr>
        <w:t>Наличие у потенциального подрядчика страхования строительно</w:t>
      </w:r>
      <w:r w:rsidR="00733CFA">
        <w:rPr>
          <w:rFonts w:ascii="Times New Roman" w:hAnsi="Times New Roman" w:cs="Times New Roman"/>
          <w:sz w:val="24"/>
          <w:szCs w:val="24"/>
        </w:rPr>
        <w:t>-</w:t>
      </w:r>
      <w:r w:rsidRPr="00F82475">
        <w:rPr>
          <w:rFonts w:ascii="Times New Roman" w:hAnsi="Times New Roman" w:cs="Times New Roman"/>
          <w:sz w:val="24"/>
          <w:szCs w:val="24"/>
        </w:rPr>
        <w:t xml:space="preserve">монтажных рисков. </w:t>
      </w: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>5.</w:t>
      </w:r>
      <w:r w:rsidR="003E5C6B">
        <w:rPr>
          <w:rFonts w:ascii="Times New Roman" w:hAnsi="Times New Roman" w:cs="Times New Roman"/>
          <w:sz w:val="24"/>
          <w:szCs w:val="24"/>
        </w:rPr>
        <w:t>10</w:t>
      </w:r>
      <w:r w:rsidR="00D13E91">
        <w:rPr>
          <w:rFonts w:ascii="Times New Roman" w:hAnsi="Times New Roman" w:cs="Times New Roman"/>
          <w:sz w:val="24"/>
          <w:szCs w:val="24"/>
        </w:rPr>
        <w:t>.</w:t>
      </w:r>
      <w:r w:rsidRPr="00F82475">
        <w:rPr>
          <w:rFonts w:ascii="Times New Roman" w:hAnsi="Times New Roman" w:cs="Times New Roman"/>
          <w:sz w:val="24"/>
          <w:szCs w:val="24"/>
        </w:rPr>
        <w:t xml:space="preserve"> Наличие у потенциального подрядчика опыта, в том числе, опыта исполнения договоров на выполнение работ, оказание услуг, аналогичных работам, услугам, которые являются предметом предквалификации и (или) положительной деловой репутации. Требования к подтверждению опыта, в том числе, опыта исполнения договоров на выполнение работ, оказание услуг, аналогичных работам, услугам, которые являются предметом предквалификации и (или) положительной деловой репутации установлены в разделе 5 настоящего Регламента. </w:t>
      </w:r>
    </w:p>
    <w:p w:rsidR="00733CFA" w:rsidRDefault="00733CFA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733CFA" w:rsidRDefault="00F82475" w:rsidP="00733C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C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42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3CF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ДОКУМЕНТЫ, ПРЕДОСТАВЛЯЕМЫЕ В СОСТАВЕ ЗАЯВКИ НА УЧАСТИЕ В ПРЕДКВАЛИФИКАЦИИ</w:t>
      </w:r>
    </w:p>
    <w:p w:rsidR="00F82475" w:rsidRPr="00F82475" w:rsidRDefault="00F82475" w:rsidP="008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требованиям, установленным настоящим Порядком осуществления предквалификации, потенциальный подрядчик в составе заявки на участие в предквалификации должен представить информацию и документы, указанные в </w:t>
      </w:r>
      <w:r w:rsidR="004F63BE">
        <w:rPr>
          <w:rFonts w:ascii="Times New Roman" w:hAnsi="Times New Roman" w:cs="Times New Roman"/>
          <w:sz w:val="24"/>
          <w:szCs w:val="24"/>
        </w:rPr>
        <w:t>Т</w:t>
      </w:r>
      <w:r w:rsidRPr="00F82475">
        <w:rPr>
          <w:rFonts w:ascii="Times New Roman" w:hAnsi="Times New Roman" w:cs="Times New Roman"/>
          <w:sz w:val="24"/>
          <w:szCs w:val="24"/>
        </w:rPr>
        <w:t xml:space="preserve">аблице 1: </w:t>
      </w:r>
    </w:p>
    <w:p w:rsidR="00733CFA" w:rsidRPr="008442E1" w:rsidRDefault="00F82475" w:rsidP="00F82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2E1">
        <w:rPr>
          <w:rFonts w:ascii="Times New Roman" w:hAnsi="Times New Roman" w:cs="Times New Roman"/>
          <w:b/>
          <w:bCs/>
          <w:sz w:val="24"/>
          <w:szCs w:val="24"/>
        </w:rPr>
        <w:t xml:space="preserve">Таблица 1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3828"/>
        <w:gridCol w:w="4394"/>
      </w:tblGrid>
      <w:tr w:rsidR="00733CFA" w:rsidTr="00BE73D5">
        <w:tc>
          <w:tcPr>
            <w:tcW w:w="1129" w:type="dxa"/>
          </w:tcPr>
          <w:p w:rsidR="00733CFA" w:rsidRPr="008442E1" w:rsidRDefault="00733CFA" w:rsidP="00844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733CFA" w:rsidRPr="008442E1" w:rsidRDefault="00733CFA" w:rsidP="00844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733CFA" w:rsidRPr="008442E1" w:rsidRDefault="00733CFA" w:rsidP="00844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</w:tcPr>
          <w:p w:rsidR="00733CFA" w:rsidRPr="008442E1" w:rsidRDefault="00733CFA" w:rsidP="00844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733CFA" w:rsidRPr="008442E1" w:rsidRDefault="00733CFA" w:rsidP="00844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3CFA" w:rsidTr="00BE73D5">
        <w:tc>
          <w:tcPr>
            <w:tcW w:w="1129" w:type="dxa"/>
          </w:tcPr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включение в реестр, оформленная по прилагаемой форме </w:t>
            </w:r>
          </w:p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См. Приложение 1 настоящего Регламента </w:t>
            </w:r>
          </w:p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FA" w:rsidTr="00BE73D5">
        <w:tc>
          <w:tcPr>
            <w:tcW w:w="1129" w:type="dxa"/>
          </w:tcPr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потенциального подрядчика, оформленная по прилагаемой форме </w:t>
            </w:r>
          </w:p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См. Приложение 2 настоящего Регламента </w:t>
            </w:r>
          </w:p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FA" w:rsidTr="00BE73D5">
        <w:tc>
          <w:tcPr>
            <w:tcW w:w="1129" w:type="dxa"/>
          </w:tcPr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733CFA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Устав, приведенный в соответствие с Федеральным законом от 30.12.2008 г № 312ФЗ в последней редакции, изменения в Устав (при их наличии) </w:t>
            </w:r>
          </w:p>
        </w:tc>
        <w:tc>
          <w:tcPr>
            <w:tcW w:w="4394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печатью и подписью руководителя организации </w:t>
            </w:r>
          </w:p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FA" w:rsidTr="00BE73D5">
        <w:tc>
          <w:tcPr>
            <w:tcW w:w="1129" w:type="dxa"/>
          </w:tcPr>
          <w:p w:rsidR="00733CFA" w:rsidRPr="004F63BE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733CFA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4394" w:type="dxa"/>
          </w:tcPr>
          <w:p w:rsidR="00733CFA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печатью и подписью руководителя организации </w:t>
            </w:r>
          </w:p>
        </w:tc>
      </w:tr>
      <w:tr w:rsidR="00733CFA" w:rsidTr="00BE73D5">
        <w:tc>
          <w:tcPr>
            <w:tcW w:w="1129" w:type="dxa"/>
          </w:tcPr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733CFA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4394" w:type="dxa"/>
          </w:tcPr>
          <w:p w:rsidR="00733CFA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печатью и подписью руководителя организации </w:t>
            </w:r>
          </w:p>
        </w:tc>
      </w:tr>
      <w:tr w:rsidR="00733CFA" w:rsidTr="00BE73D5">
        <w:tc>
          <w:tcPr>
            <w:tcW w:w="1129" w:type="dxa"/>
          </w:tcPr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733CFA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8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</w:t>
            </w:r>
            <w:r w:rsidRPr="00C42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реестра юридических лиц, полученная не ранее чем за 2 (два) месяца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 до составления Заявки </w:t>
            </w:r>
          </w:p>
        </w:tc>
        <w:tc>
          <w:tcPr>
            <w:tcW w:w="4394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Полученная не ранее чем за 2 (два) 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до составления Заявки </w:t>
            </w:r>
          </w:p>
          <w:p w:rsidR="00733CFA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FA" w:rsidTr="00BE73D5">
        <w:tc>
          <w:tcPr>
            <w:tcW w:w="1129" w:type="dxa"/>
          </w:tcPr>
          <w:p w:rsidR="00733CFA" w:rsidRPr="00F82475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представителей потенциального подрядчика, (для всех лиц, от имени которых действует уполномоченный представитель). </w:t>
            </w:r>
            <w:r w:rsidRPr="00C424D8">
              <w:rPr>
                <w:rFonts w:ascii="Times New Roman" w:hAnsi="Times New Roman" w:cs="Times New Roman"/>
                <w:sz w:val="24"/>
                <w:szCs w:val="24"/>
              </w:rPr>
              <w:t>Если представитель потенциального подрядчика  действует от имени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потенциального участника на основании доверенности, то нотариально заверенная копия такой доверенности</w:t>
            </w:r>
            <w:r w:rsidR="0084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FA" w:rsidTr="00BE73D5">
        <w:tc>
          <w:tcPr>
            <w:tcW w:w="1129" w:type="dxa"/>
          </w:tcPr>
          <w:p w:rsidR="00733CFA" w:rsidRPr="00F82475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8442E1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об учете в Статрегистре Росстата </w:t>
            </w:r>
          </w:p>
          <w:p w:rsidR="00733CFA" w:rsidRPr="00F82475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(коды статистики) </w:t>
            </w:r>
          </w:p>
        </w:tc>
        <w:tc>
          <w:tcPr>
            <w:tcW w:w="4394" w:type="dxa"/>
          </w:tcPr>
          <w:p w:rsidR="00733CFA" w:rsidRPr="00F82475" w:rsidRDefault="00733CF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печатью и подписью руководителя организации </w:t>
            </w:r>
          </w:p>
        </w:tc>
      </w:tr>
      <w:tr w:rsidR="00733CFA" w:rsidTr="00BE73D5">
        <w:tc>
          <w:tcPr>
            <w:tcW w:w="1129" w:type="dxa"/>
          </w:tcPr>
          <w:p w:rsidR="00733CFA" w:rsidRPr="00F82475" w:rsidRDefault="00733CF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уполномоченного налогового органа, подтверждающей отсутствие непогашенной задолженности по начисленным налогам, сборам и иным </w:t>
            </w:r>
            <w:r w:rsidR="004F63BE" w:rsidRPr="00F82475">
              <w:rPr>
                <w:rFonts w:ascii="Times New Roman" w:hAnsi="Times New Roman" w:cs="Times New Roman"/>
                <w:sz w:val="24"/>
                <w:szCs w:val="24"/>
              </w:rPr>
              <w:t>обязательным платежам в бюджеты любого уровня или государственные внебюджетные фонды, размер которой превышает 25 % (двадцать пять процентов) балансовой стоимости активов потенциального подрядчика по данным бухгалтерской отч</w:t>
            </w:r>
            <w:r w:rsidR="008442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F63BE" w:rsidRPr="00F82475">
              <w:rPr>
                <w:rFonts w:ascii="Times New Roman" w:hAnsi="Times New Roman" w:cs="Times New Roman"/>
                <w:sz w:val="24"/>
                <w:szCs w:val="24"/>
              </w:rPr>
              <w:t>тности за последний заверш</w:t>
            </w:r>
            <w:r w:rsidR="008442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F63BE" w:rsidRPr="00F82475">
              <w:rPr>
                <w:rFonts w:ascii="Times New Roman" w:hAnsi="Times New Roman" w:cs="Times New Roman"/>
                <w:sz w:val="24"/>
                <w:szCs w:val="24"/>
              </w:rPr>
              <w:t>нный отч</w:t>
            </w:r>
            <w:r w:rsidR="008442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4F63BE" w:rsidRPr="00F82475">
              <w:rPr>
                <w:rFonts w:ascii="Times New Roman" w:hAnsi="Times New Roman" w:cs="Times New Roman"/>
                <w:sz w:val="24"/>
                <w:szCs w:val="24"/>
              </w:rPr>
              <w:t>тный период, полученной не ранее чем за 3 (три) месяца</w:t>
            </w:r>
          </w:p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печатью и подписью руководителя организации </w:t>
            </w:r>
          </w:p>
          <w:p w:rsidR="00733CFA" w:rsidRPr="00F82475" w:rsidRDefault="00733CFA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D879D4" w:rsidRPr="00F82475" w:rsidRDefault="004F63BE" w:rsidP="00D8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допуске к выполняемым видам работ, выданное соответствующей саморегулируемой организацией в порядке, предусмотренном законодательством Российской Федерации </w:t>
            </w:r>
          </w:p>
        </w:tc>
        <w:tc>
          <w:tcPr>
            <w:tcW w:w="4394" w:type="dxa"/>
          </w:tcPr>
          <w:p w:rsidR="004F63BE" w:rsidRPr="00F82475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Копия, заверенная печатью и подписью руководителя организации </w:t>
            </w:r>
          </w:p>
          <w:p w:rsidR="004F63BE" w:rsidRPr="00F82475" w:rsidRDefault="004F63BE" w:rsidP="00733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баланс и отчет о прибылях и убытках (либо иные документы подтверждающие сдачу не нулевой бухгалтерской отчетности и величину чистых активов предприятия) за два финансовых периода (финансовый период 12 месяцев), 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предшествовавших подаче заявки </w:t>
            </w:r>
          </w:p>
        </w:tc>
        <w:tc>
          <w:tcPr>
            <w:tcW w:w="4394" w:type="dxa"/>
          </w:tcPr>
          <w:p w:rsidR="004F63BE" w:rsidRPr="00F82475" w:rsidRDefault="00D879D4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отметкой ИФНС или квитанцией о приёме ИФНС (в электронном виде)</w:t>
            </w:r>
          </w:p>
        </w:tc>
      </w:tr>
      <w:tr w:rsidR="00D879D4" w:rsidTr="00BE73D5">
        <w:tc>
          <w:tcPr>
            <w:tcW w:w="1129" w:type="dxa"/>
          </w:tcPr>
          <w:p w:rsidR="00D879D4" w:rsidRPr="00F82475" w:rsidRDefault="00671FBA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</w:tcPr>
          <w:p w:rsidR="00D879D4" w:rsidRPr="00F82475" w:rsidRDefault="00671FBA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НДС за последний отчетный период  </w:t>
            </w:r>
          </w:p>
        </w:tc>
        <w:tc>
          <w:tcPr>
            <w:tcW w:w="4394" w:type="dxa"/>
          </w:tcPr>
          <w:p w:rsidR="00D879D4" w:rsidRPr="00F82475" w:rsidRDefault="00671FBA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BA">
              <w:rPr>
                <w:rFonts w:ascii="Times New Roman" w:hAnsi="Times New Roman" w:cs="Times New Roman"/>
                <w:sz w:val="24"/>
                <w:szCs w:val="24"/>
              </w:rPr>
              <w:t>Подтверждение её получения ИФНС (квитанция 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71FBA">
              <w:rPr>
                <w:rFonts w:ascii="Times New Roman" w:hAnsi="Times New Roman" w:cs="Times New Roman"/>
                <w:sz w:val="24"/>
                <w:szCs w:val="24"/>
              </w:rPr>
              <w:t xml:space="preserve">ме налоговой 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FBA">
              <w:rPr>
                <w:rFonts w:ascii="Times New Roman" w:hAnsi="Times New Roman" w:cs="Times New Roman"/>
                <w:sz w:val="24"/>
                <w:szCs w:val="24"/>
              </w:rPr>
              <w:t>в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онном </w:t>
            </w:r>
            <w:r w:rsidRPr="00671FBA">
              <w:rPr>
                <w:rFonts w:ascii="Times New Roman" w:hAnsi="Times New Roman" w:cs="Times New Roman"/>
                <w:sz w:val="24"/>
                <w:szCs w:val="24"/>
              </w:rPr>
              <w:t>виде)</w:t>
            </w: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442E1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том, что потенциальный подрядчик: </w:t>
            </w:r>
          </w:p>
          <w:p w:rsidR="008442E1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- не находится в процессе ликвидации; </w:t>
            </w:r>
          </w:p>
          <w:p w:rsidR="008442E1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- не признан несостоятельным (банкротом); </w:t>
            </w:r>
          </w:p>
          <w:p w:rsidR="008442E1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- на имущество не наложен арест;</w:t>
            </w:r>
          </w:p>
          <w:p w:rsidR="004F63BE" w:rsidRPr="00F82475" w:rsidRDefault="004F63BE" w:rsidP="00424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-экономическая деятельность не приостановлена на дату подачи заявки на участие в предквалификации. </w:t>
            </w:r>
          </w:p>
        </w:tc>
        <w:tc>
          <w:tcPr>
            <w:tcW w:w="4394" w:type="dxa"/>
          </w:tcPr>
          <w:p w:rsidR="004F63BE" w:rsidRPr="00F82475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</w:t>
            </w:r>
          </w:p>
          <w:p w:rsidR="004F63BE" w:rsidRPr="00F82475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F63BE" w:rsidRPr="00C424D8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8">
              <w:rPr>
                <w:rFonts w:ascii="Times New Roman" w:hAnsi="Times New Roman" w:cs="Times New Roman"/>
                <w:sz w:val="24"/>
                <w:szCs w:val="24"/>
              </w:rPr>
              <w:t>Письмо о профилирующих направлениях деятельности</w:t>
            </w:r>
            <w:r w:rsidR="008442E1" w:rsidRPr="00C42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F63BE" w:rsidRPr="00C424D8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D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</w:t>
            </w: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опыте исполнения аналогичных договоров на выполнение работ, которые являются предметом предквалификации и (или) положительной деловой репутации, оформленная по прилагаемой форме. </w:t>
            </w:r>
          </w:p>
        </w:tc>
        <w:tc>
          <w:tcPr>
            <w:tcW w:w="4394" w:type="dxa"/>
          </w:tcPr>
          <w:p w:rsidR="008442E1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</w:t>
            </w:r>
          </w:p>
          <w:p w:rsidR="004F63BE" w:rsidRPr="00F82475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3 настоящего Регламента </w:t>
            </w:r>
          </w:p>
          <w:p w:rsidR="004F63BE" w:rsidRPr="00F82475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Справка о наличии собственных грузоподъ</w:t>
            </w:r>
            <w:r w:rsidR="008442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мных, транспортных средств и основных строительных машин и механизмов</w:t>
            </w:r>
            <w:r w:rsidR="0084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42E1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</w:t>
            </w:r>
          </w:p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4 настоящего Регламента </w:t>
            </w: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Письмо о среднесписочной чи</w:t>
            </w:r>
            <w:r w:rsidRPr="00C424D8">
              <w:rPr>
                <w:rFonts w:ascii="Times New Roman" w:hAnsi="Times New Roman" w:cs="Times New Roman"/>
                <w:sz w:val="24"/>
                <w:szCs w:val="24"/>
              </w:rPr>
              <w:t>сленн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ости работников за предыдущий год </w:t>
            </w:r>
          </w:p>
        </w:tc>
        <w:tc>
          <w:tcPr>
            <w:tcW w:w="4394" w:type="dxa"/>
          </w:tcPr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</w:t>
            </w:r>
          </w:p>
        </w:tc>
      </w:tr>
      <w:tr w:rsidR="004F63BE" w:rsidTr="00BE73D5">
        <w:tc>
          <w:tcPr>
            <w:tcW w:w="1129" w:type="dxa"/>
          </w:tcPr>
          <w:p w:rsidR="004F63BE" w:rsidRPr="00F82475" w:rsidRDefault="004F63BE" w:rsidP="00F82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кадровых ресурсах организации, оформленная по прилагаемой форме </w:t>
            </w:r>
          </w:p>
        </w:tc>
        <w:tc>
          <w:tcPr>
            <w:tcW w:w="4394" w:type="dxa"/>
          </w:tcPr>
          <w:p w:rsidR="008442E1" w:rsidRDefault="004F63BE" w:rsidP="004F6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бланке предприятия, подписанный руководителем организации </w:t>
            </w:r>
          </w:p>
          <w:p w:rsidR="004F63BE" w:rsidRPr="00F82475" w:rsidRDefault="004F63BE" w:rsidP="0084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475">
              <w:rPr>
                <w:rFonts w:ascii="Times New Roman" w:hAnsi="Times New Roman" w:cs="Times New Roman"/>
                <w:sz w:val="24"/>
                <w:szCs w:val="24"/>
              </w:rPr>
              <w:t xml:space="preserve">См. Приложение 5 настоящего Регламента </w:t>
            </w:r>
          </w:p>
        </w:tc>
      </w:tr>
    </w:tbl>
    <w:p w:rsidR="00733CFA" w:rsidRDefault="00733CFA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475" w:rsidRP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Кроме того, потенциальный подрядчик в праве предоставить дополнительные документы, характеризующие его трудовую деятельность. </w:t>
      </w:r>
    </w:p>
    <w:p w:rsidR="00F82475" w:rsidRDefault="00F82475" w:rsidP="00F82475">
      <w:pPr>
        <w:jc w:val="both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D4" w:rsidRDefault="005036D4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4" w:rsidRPr="00F82475" w:rsidRDefault="005036D4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70C" w:rsidRDefault="0073570C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CE" w:rsidRDefault="00177DCE" w:rsidP="00F824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CE" w:rsidRPr="00177DCE" w:rsidRDefault="00177DCE" w:rsidP="00177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77DCE" w:rsidRPr="00177DCE" w:rsidRDefault="00177DCE" w:rsidP="00020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177DCE" w:rsidRPr="00177DCE" w:rsidRDefault="008442E1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77DCE" w:rsidRP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Дата, исх. </w:t>
      </w:r>
      <w:r w:rsidR="008442E1" w:rsidRPr="00177DCE">
        <w:rPr>
          <w:rFonts w:ascii="Times New Roman" w:hAnsi="Times New Roman" w:cs="Times New Roman"/>
          <w:sz w:val="24"/>
          <w:szCs w:val="24"/>
        </w:rPr>
        <w:t>Н</w:t>
      </w:r>
      <w:r w:rsidRPr="00177DCE">
        <w:rPr>
          <w:rFonts w:ascii="Times New Roman" w:hAnsi="Times New Roman" w:cs="Times New Roman"/>
          <w:sz w:val="24"/>
          <w:szCs w:val="24"/>
        </w:rPr>
        <w:t xml:space="preserve">омер </w:t>
      </w:r>
    </w:p>
    <w:p w:rsidR="00177DCE" w:rsidRP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CE" w:rsidRPr="00177DCE" w:rsidRDefault="00177DCE" w:rsidP="00177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DCE">
        <w:rPr>
          <w:rFonts w:ascii="Times New Roman" w:hAnsi="Times New Roman" w:cs="Times New Roman"/>
          <w:b/>
          <w:bCs/>
          <w:sz w:val="24"/>
          <w:szCs w:val="24"/>
        </w:rPr>
        <w:t>Заявка на включение в реестр</w:t>
      </w:r>
    </w:p>
    <w:p w:rsidR="008442E1" w:rsidRDefault="00177DCE" w:rsidP="008442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Изучив Регламент осуществления предквалификации и, принимая установленные в нем требования и условия, мы  _________</w:t>
      </w:r>
      <w:r w:rsidR="008442E1">
        <w:rPr>
          <w:rFonts w:ascii="Times New Roman" w:hAnsi="Times New Roman" w:cs="Times New Roman"/>
          <w:sz w:val="24"/>
          <w:szCs w:val="24"/>
        </w:rPr>
        <w:t>____________</w:t>
      </w:r>
      <w:r w:rsidRPr="00177DCE">
        <w:rPr>
          <w:rFonts w:ascii="Times New Roman" w:hAnsi="Times New Roman" w:cs="Times New Roman"/>
          <w:sz w:val="24"/>
          <w:szCs w:val="24"/>
        </w:rPr>
        <w:t>____________________</w:t>
      </w:r>
      <w:r w:rsidR="008442E1">
        <w:rPr>
          <w:rFonts w:ascii="Times New Roman" w:hAnsi="Times New Roman" w:cs="Times New Roman"/>
          <w:sz w:val="24"/>
          <w:szCs w:val="24"/>
        </w:rPr>
        <w:t>_________</w:t>
      </w:r>
    </w:p>
    <w:p w:rsidR="008442E1" w:rsidRDefault="008442E1" w:rsidP="00844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DCE" w:rsidRDefault="00177DCE" w:rsidP="008442E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(наименование и адрес потенциального подрядчика)</w:t>
      </w:r>
    </w:p>
    <w:p w:rsidR="008442E1" w:rsidRPr="00177DCE" w:rsidRDefault="008442E1" w:rsidP="008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направляем документы и сведения согласно описи, прилагаемой к настоящей Заявке на включение в реестр потенциальных подрядчиков, для участия в предквалификации. </w:t>
      </w:r>
    </w:p>
    <w:p w:rsidR="00177DCE" w:rsidRDefault="00177DCE" w:rsidP="00177D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на включение в реестр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 </w:t>
      </w:r>
    </w:p>
    <w:p w:rsidR="008442E1" w:rsidRDefault="00177DCE" w:rsidP="00844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</w:t>
      </w:r>
      <w:r w:rsidR="008442E1">
        <w:rPr>
          <w:rFonts w:ascii="Times New Roman" w:hAnsi="Times New Roman" w:cs="Times New Roman"/>
          <w:sz w:val="24"/>
          <w:szCs w:val="24"/>
        </w:rPr>
        <w:t>_</w:t>
      </w:r>
      <w:r w:rsidRPr="00177DCE">
        <w:rPr>
          <w:rFonts w:ascii="Times New Roman" w:hAnsi="Times New Roman" w:cs="Times New Roman"/>
          <w:sz w:val="24"/>
          <w:szCs w:val="24"/>
        </w:rPr>
        <w:t>___</w:t>
      </w:r>
    </w:p>
    <w:p w:rsidR="00177DCE" w:rsidRPr="00177DCE" w:rsidRDefault="00177DCE" w:rsidP="008442E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(Ф.И.О., телефон представителя потенциального подрядчика)</w:t>
      </w:r>
    </w:p>
    <w:p w:rsidR="008442E1" w:rsidRDefault="008442E1" w:rsidP="00177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DCE" w:rsidRDefault="00177DCE" w:rsidP="00D35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Все сведения о результатах отбора потенциальных подрядчиков просим сообщать уполномоченному лицу. </w:t>
      </w:r>
    </w:p>
    <w:p w:rsid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Наш юридический адрес: __</w:t>
      </w:r>
      <w:r w:rsidR="00D3511D">
        <w:rPr>
          <w:rFonts w:ascii="Times New Roman" w:hAnsi="Times New Roman" w:cs="Times New Roman"/>
          <w:sz w:val="24"/>
          <w:szCs w:val="24"/>
        </w:rPr>
        <w:t>________________</w:t>
      </w:r>
      <w:r w:rsidRPr="00177DCE">
        <w:rPr>
          <w:rFonts w:ascii="Times New Roman" w:hAnsi="Times New Roman" w:cs="Times New Roman"/>
          <w:sz w:val="24"/>
          <w:szCs w:val="24"/>
        </w:rPr>
        <w:t xml:space="preserve">____________________________________; </w:t>
      </w:r>
    </w:p>
    <w:p w:rsid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Наш фактический адрес: __________</w:t>
      </w:r>
      <w:r w:rsidR="00D3511D">
        <w:rPr>
          <w:rFonts w:ascii="Times New Roman" w:hAnsi="Times New Roman" w:cs="Times New Roman"/>
          <w:sz w:val="24"/>
          <w:szCs w:val="24"/>
        </w:rPr>
        <w:t>_________________</w:t>
      </w:r>
      <w:r w:rsidRPr="00177DCE">
        <w:rPr>
          <w:rFonts w:ascii="Times New Roman" w:hAnsi="Times New Roman" w:cs="Times New Roman"/>
          <w:sz w:val="24"/>
          <w:szCs w:val="24"/>
        </w:rPr>
        <w:t xml:space="preserve">____________________________; </w:t>
      </w:r>
    </w:p>
    <w:p w:rsid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Телефон: ________________</w:t>
      </w:r>
      <w:r w:rsidR="00D3511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77DCE">
        <w:rPr>
          <w:rFonts w:ascii="Times New Roman" w:hAnsi="Times New Roman" w:cs="Times New Roman"/>
          <w:sz w:val="24"/>
          <w:szCs w:val="24"/>
        </w:rPr>
        <w:t xml:space="preserve">_____; </w:t>
      </w:r>
    </w:p>
    <w:p w:rsid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Факс: ______________</w:t>
      </w:r>
      <w:r w:rsidR="00D3511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77DCE">
        <w:rPr>
          <w:rFonts w:ascii="Times New Roman" w:hAnsi="Times New Roman" w:cs="Times New Roman"/>
          <w:sz w:val="24"/>
          <w:szCs w:val="24"/>
        </w:rPr>
        <w:t xml:space="preserve">__________; </w:t>
      </w:r>
    </w:p>
    <w:p w:rsidR="00177DCE" w:rsidRPr="00177DCE" w:rsidRDefault="00177DCE" w:rsidP="00D35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Корреспонденцию в наш адрес просим направлять по адресу: _________________________</w:t>
      </w:r>
      <w:r w:rsidR="00D3511D">
        <w:rPr>
          <w:rFonts w:ascii="Times New Roman" w:hAnsi="Times New Roman" w:cs="Times New Roman"/>
          <w:sz w:val="24"/>
          <w:szCs w:val="24"/>
        </w:rPr>
        <w:t>___________</w:t>
      </w:r>
      <w:r w:rsidRPr="00177DCE">
        <w:rPr>
          <w:rFonts w:ascii="Times New Roman" w:hAnsi="Times New Roman" w:cs="Times New Roman"/>
          <w:sz w:val="24"/>
          <w:szCs w:val="24"/>
        </w:rPr>
        <w:t xml:space="preserve">_________________________________________. </w:t>
      </w:r>
    </w:p>
    <w:p w:rsidR="00177DCE" w:rsidRP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CE" w:rsidRPr="00177DCE" w:rsidRDefault="00177DCE" w:rsidP="00D351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>К настоящей Заявке на включение в реестр прилагаются следующие документы:  Приложение</w:t>
      </w:r>
      <w:r w:rsidR="00D3511D">
        <w:rPr>
          <w:rFonts w:ascii="Times New Roman" w:hAnsi="Times New Roman" w:cs="Times New Roman"/>
          <w:sz w:val="24"/>
          <w:szCs w:val="24"/>
        </w:rPr>
        <w:t>:</w:t>
      </w:r>
    </w:p>
    <w:p w:rsidR="00177DCE" w:rsidRPr="00177DCE" w:rsidRDefault="00177DCE" w:rsidP="00177DCE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CE" w:rsidRDefault="00177DCE" w:rsidP="00D3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 ________________________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177DCE">
        <w:rPr>
          <w:rFonts w:ascii="Times New Roman" w:hAnsi="Times New Roman" w:cs="Times New Roman"/>
          <w:sz w:val="24"/>
          <w:szCs w:val="24"/>
        </w:rPr>
        <w:t>_________________</w:t>
      </w:r>
    </w:p>
    <w:p w:rsidR="00177DCE" w:rsidRDefault="00177DCE" w:rsidP="00D3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DC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7DCE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177DC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20E89" w:rsidRPr="00020E89" w:rsidRDefault="00020E89" w:rsidP="00020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020E89" w:rsidRP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89" w:rsidRPr="00020E89" w:rsidRDefault="00020E89" w:rsidP="00020E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020E89" w:rsidRP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89" w:rsidRPr="00020E89" w:rsidRDefault="00020E89" w:rsidP="00020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E89">
        <w:rPr>
          <w:rFonts w:ascii="Times New Roman" w:hAnsi="Times New Roman" w:cs="Times New Roman"/>
          <w:b/>
          <w:bCs/>
          <w:sz w:val="24"/>
          <w:szCs w:val="24"/>
        </w:rPr>
        <w:t>Анкета потенциального подрядчика</w:t>
      </w:r>
    </w:p>
    <w:p w:rsidR="00020E89" w:rsidRP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>Потенциальный подрядчик: _______</w:t>
      </w:r>
      <w:r w:rsidR="00D3511D">
        <w:rPr>
          <w:rFonts w:ascii="Times New Roman" w:hAnsi="Times New Roman" w:cs="Times New Roman"/>
          <w:sz w:val="24"/>
          <w:szCs w:val="24"/>
        </w:rPr>
        <w:t>_______________</w:t>
      </w:r>
      <w:r w:rsidRPr="00020E89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:rsidR="00D3511D" w:rsidRPr="00020E89" w:rsidRDefault="00D3511D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10"/>
      </w:tblGrid>
      <w:tr w:rsidR="00020E89" w:rsidTr="0030362B">
        <w:tc>
          <w:tcPr>
            <w:tcW w:w="704" w:type="dxa"/>
          </w:tcPr>
          <w:p w:rsidR="00020E89" w:rsidRPr="0030362B" w:rsidRDefault="00020E89" w:rsidP="00303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3511D" w:rsidRDefault="00D3511D" w:rsidP="00303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E89" w:rsidRPr="0030362B" w:rsidRDefault="00020E89" w:rsidP="00303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020E89" w:rsidRPr="0030362B" w:rsidRDefault="00020E89" w:rsidP="00303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020E89" w:rsidRPr="0030362B" w:rsidRDefault="00020E89" w:rsidP="00303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потенциальном подрядчике на участие в предквалификации</w:t>
            </w:r>
          </w:p>
          <w:p w:rsidR="00020E89" w:rsidRPr="0030362B" w:rsidRDefault="00020E89" w:rsidP="003036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и сокращенное наименования организации) 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253" w:type="dxa"/>
          </w:tcPr>
          <w:p w:rsid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 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Учредители (перечислить наименования и организационно-правовую форму или Ф.И.О. всех учредителей) 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:rsid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в Единый государственный реестр юридических лиц/индивидуальных предпринимателей (дата и номер, кем выдано) 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D3511D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Срок деятельности</w:t>
            </w:r>
          </w:p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правопреемственности)  </w:t>
            </w:r>
          </w:p>
        </w:tc>
        <w:tc>
          <w:tcPr>
            <w:tcW w:w="4110" w:type="dxa"/>
          </w:tcPr>
          <w:p w:rsidR="00D3511D" w:rsidRDefault="00D3511D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ИНН, КПП, ОГРН, ОКПО  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Место нахождения (страна, адрес)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(страна, адрес)  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Факс (с указанием кода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D3511D" w:rsidRDefault="00D3511D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</w:t>
            </w:r>
          </w:p>
        </w:tc>
        <w:tc>
          <w:tcPr>
            <w:tcW w:w="4110" w:type="dxa"/>
          </w:tcPr>
          <w:p w:rsidR="00D3511D" w:rsidRDefault="00D3511D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4253" w:type="dxa"/>
          </w:tcPr>
          <w:p w:rsidR="00020E89" w:rsidRP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Филиалы: перечислить наименования и почтовые адреса </w:t>
            </w:r>
          </w:p>
        </w:tc>
        <w:tc>
          <w:tcPr>
            <w:tcW w:w="4110" w:type="dxa"/>
          </w:tcPr>
          <w:p w:rsidR="00D3511D" w:rsidRDefault="00D3511D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 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активов (по балансу последнего завершенного периода)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и адрес банка, номер расчетного счета в банке)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0E89" w:rsidRP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потенциального подрядчика, имеющего право подписи согласно учредительным документам, </w:t>
            </w:r>
            <w:r w:rsidRPr="000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указанием должности и контактного телефона 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53" w:type="dxa"/>
          </w:tcPr>
          <w:p w:rsidR="00020E89" w:rsidRPr="00020E89" w:rsidRDefault="00020E89" w:rsidP="00D35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Ф.И.О. уполномоченного лица потенциального подрядчика на участие в предквалификации с указанием должности, контактного телефона, электронной почты  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E89" w:rsidTr="0030362B">
        <w:tc>
          <w:tcPr>
            <w:tcW w:w="704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020E89" w:rsidRP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8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 </w:t>
            </w:r>
          </w:p>
        </w:tc>
        <w:tc>
          <w:tcPr>
            <w:tcW w:w="4110" w:type="dxa"/>
          </w:tcPr>
          <w:p w:rsidR="00020E89" w:rsidRDefault="00020E89" w:rsidP="0002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E89" w:rsidRP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 w:rsidP="0002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11D" w:rsidRPr="00020E89" w:rsidRDefault="00D3511D" w:rsidP="00020E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89" w:rsidRDefault="00020E89" w:rsidP="00D3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>________________________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_________________</w:t>
      </w:r>
    </w:p>
    <w:p w:rsidR="0030362B" w:rsidRPr="00F82475" w:rsidRDefault="00020E89" w:rsidP="00D3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62B" w:rsidRPr="00020E89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020E89" w:rsidRP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20E89" w:rsidRPr="00020E89" w:rsidRDefault="00020E89" w:rsidP="00020E8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4" w:rsidRDefault="00503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11D" w:rsidRDefault="00D3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11D" w:rsidRDefault="00D3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11D" w:rsidRDefault="00D3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8C" w:rsidRDefault="00571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11D" w:rsidRDefault="00D35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Pr="0030362B" w:rsidRDefault="0030362B" w:rsidP="00303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30362B" w:rsidRDefault="0030362B" w:rsidP="00303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30362B" w:rsidRDefault="0030362B" w:rsidP="003036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62B">
        <w:rPr>
          <w:rFonts w:ascii="Times New Roman" w:hAnsi="Times New Roman" w:cs="Times New Roman"/>
          <w:b/>
          <w:bCs/>
          <w:sz w:val="24"/>
          <w:szCs w:val="24"/>
        </w:rPr>
        <w:t>Справка об опыте исполнения аналогичных договоров</w:t>
      </w:r>
    </w:p>
    <w:p w:rsid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568" w:type="dxa"/>
        <w:tblLayout w:type="fixed"/>
        <w:tblLook w:val="04A0" w:firstRow="1" w:lastRow="0" w:firstColumn="1" w:lastColumn="0" w:noHBand="0" w:noVBand="1"/>
      </w:tblPr>
      <w:tblGrid>
        <w:gridCol w:w="560"/>
        <w:gridCol w:w="1538"/>
        <w:gridCol w:w="1554"/>
        <w:gridCol w:w="1433"/>
        <w:gridCol w:w="1544"/>
        <w:gridCol w:w="1578"/>
        <w:gridCol w:w="1361"/>
      </w:tblGrid>
      <w:tr w:rsidR="0030362B" w:rsidTr="00ED692E">
        <w:tc>
          <w:tcPr>
            <w:tcW w:w="560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заключения контракта или договора</w:t>
            </w:r>
          </w:p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Заказчика, адрес, телефон</w:t>
            </w:r>
          </w:p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контракта или договора</w:t>
            </w:r>
          </w:p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и объемы  выполненных работ</w:t>
            </w:r>
          </w:p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</w:t>
            </w:r>
          </w:p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</w:tcPr>
          <w:p w:rsidR="0030362B" w:rsidRPr="0030362B" w:rsidRDefault="0030362B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или договора, руб</w:t>
            </w:r>
            <w:r w:rsidR="00D3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0362B" w:rsidTr="00ED692E">
        <w:tc>
          <w:tcPr>
            <w:tcW w:w="560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0362B" w:rsidRDefault="0030362B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Pr="00020E89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 w:rsidP="005D1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>________________________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_________________</w:t>
      </w:r>
    </w:p>
    <w:p w:rsidR="0030362B" w:rsidRPr="00F82475" w:rsidRDefault="0030362B" w:rsidP="005D1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30362B" w:rsidRPr="00020E89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A8C" w:rsidRDefault="00571A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Default="005D1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Default="005D1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Pr="00226C49" w:rsidRDefault="0030362B" w:rsidP="0022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30362B" w:rsidRDefault="0030362B" w:rsidP="0022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30362B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62B" w:rsidRPr="00226C49" w:rsidRDefault="0030362B" w:rsidP="0022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49">
        <w:rPr>
          <w:rFonts w:ascii="Times New Roman" w:hAnsi="Times New Roman" w:cs="Times New Roman"/>
          <w:b/>
          <w:bCs/>
          <w:sz w:val="24"/>
          <w:szCs w:val="24"/>
        </w:rPr>
        <w:t>Справка о материально-технических ресурсах</w:t>
      </w:r>
    </w:p>
    <w:p w:rsidR="00226C49" w:rsidRDefault="0030362B" w:rsidP="0030362B">
      <w:pPr>
        <w:jc w:val="both"/>
        <w:rPr>
          <w:rFonts w:ascii="Times New Roman" w:hAnsi="Times New Roman" w:cs="Times New Roman"/>
          <w:sz w:val="24"/>
          <w:szCs w:val="24"/>
        </w:rPr>
      </w:pPr>
      <w:r w:rsidRPr="003036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635"/>
        <w:gridCol w:w="1418"/>
        <w:gridCol w:w="1534"/>
        <w:gridCol w:w="1090"/>
        <w:gridCol w:w="1583"/>
      </w:tblGrid>
      <w:tr w:rsidR="00226C49" w:rsidTr="005D11C3">
        <w:tc>
          <w:tcPr>
            <w:tcW w:w="560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п/п</w:t>
            </w:r>
          </w:p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тип, марка</w:t>
            </w:r>
          </w:p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</w:p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собственности</w:t>
            </w:r>
          </w:p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Предназначение</w:t>
            </w:r>
          </w:p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1583" w:type="dxa"/>
          </w:tcPr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(количество</w:t>
            </w:r>
          </w:p>
          <w:p w:rsidR="00226C49" w:rsidRPr="00226C49" w:rsidRDefault="00226C49" w:rsidP="00226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C49" w:rsidTr="005D11C3">
        <w:tc>
          <w:tcPr>
            <w:tcW w:w="560" w:type="dxa"/>
          </w:tcPr>
          <w:p w:rsidR="00226C49" w:rsidRDefault="00837FFA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5" w:type="dxa"/>
          </w:tcPr>
          <w:p w:rsidR="00226C49" w:rsidRDefault="00226C49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226C49" w:rsidRDefault="00226C49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C49" w:rsidRDefault="00226C49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26C49" w:rsidRDefault="00226C49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26C49" w:rsidRDefault="00226C49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226C49" w:rsidRDefault="00226C49" w:rsidP="00303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49" w:rsidRPr="0030362B" w:rsidRDefault="00226C49" w:rsidP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2B" w:rsidRDefault="00303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Pr="00020E8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 w:rsidP="005D1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>________________________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_________________</w:t>
      </w:r>
    </w:p>
    <w:p w:rsidR="00226C49" w:rsidRPr="00F82475" w:rsidRDefault="00226C49" w:rsidP="005D1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226C49" w:rsidRPr="00020E8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Default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Default="005D1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4" w:rsidRDefault="00503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D4" w:rsidRDefault="005036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1C3" w:rsidRDefault="005D1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Pr="00226C49" w:rsidRDefault="00226C49" w:rsidP="0022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49" w:rsidRPr="00226C49" w:rsidRDefault="00226C49" w:rsidP="0022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49" w:rsidRPr="00226C49" w:rsidRDefault="00226C49" w:rsidP="00226C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C49">
        <w:rPr>
          <w:rFonts w:ascii="Times New Roman" w:hAnsi="Times New Roman" w:cs="Times New Roman"/>
          <w:b/>
          <w:bCs/>
          <w:sz w:val="24"/>
          <w:szCs w:val="24"/>
        </w:rPr>
        <w:t>Справка о кадровых ресурсах организации</w:t>
      </w:r>
    </w:p>
    <w:p w:rsidR="00837FFA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37FFA" w:rsidTr="00837FFA">
        <w:tc>
          <w:tcPr>
            <w:tcW w:w="1869" w:type="dxa"/>
          </w:tcPr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специалиста</w:t>
            </w:r>
          </w:p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69" w:type="dxa"/>
          </w:tcPr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837FFA" w:rsidRPr="00837FFA" w:rsidRDefault="00837FFA" w:rsidP="0083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837FFA" w:rsidTr="00837FFA">
        <w:tc>
          <w:tcPr>
            <w:tcW w:w="1869" w:type="dxa"/>
          </w:tcPr>
          <w:p w:rsidR="00837FFA" w:rsidRDefault="00837FFA" w:rsidP="0022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837FFA" w:rsidRDefault="00837FFA" w:rsidP="0022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7FFA" w:rsidRDefault="00837FFA" w:rsidP="0022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7FFA" w:rsidRDefault="00837FFA" w:rsidP="0022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37FFA" w:rsidRDefault="00837FFA" w:rsidP="0022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49" w:rsidRPr="00226C49" w:rsidRDefault="00226C49" w:rsidP="00226C49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FA" w:rsidRPr="00020E89" w:rsidRDefault="00226C49" w:rsidP="008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22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FFA" w:rsidRDefault="00837FFA" w:rsidP="005D1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>________________________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_________________</w:t>
      </w:r>
    </w:p>
    <w:p w:rsidR="00837FFA" w:rsidRPr="00F82475" w:rsidRDefault="00837FFA" w:rsidP="005D1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0E89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837FFA" w:rsidRPr="00020E89" w:rsidRDefault="00837FFA" w:rsidP="00837FFA">
      <w:pPr>
        <w:jc w:val="both"/>
        <w:rPr>
          <w:rFonts w:ascii="Times New Roman" w:hAnsi="Times New Roman" w:cs="Times New Roman"/>
          <w:sz w:val="24"/>
          <w:szCs w:val="24"/>
        </w:rPr>
      </w:pPr>
      <w:r w:rsidRPr="00020E89">
        <w:rPr>
          <w:rFonts w:ascii="Times New Roman" w:hAnsi="Times New Roman" w:cs="Times New Roman"/>
          <w:sz w:val="24"/>
          <w:szCs w:val="24"/>
        </w:rPr>
        <w:t xml:space="preserve">М.П. </w:t>
      </w:r>
    </w:p>
    <w:sectPr w:rsidR="00837FFA" w:rsidRPr="00020E89" w:rsidSect="00FC11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57" w:rsidRDefault="00B12D57" w:rsidP="0096430E">
      <w:pPr>
        <w:spacing w:after="0" w:line="240" w:lineRule="auto"/>
      </w:pPr>
      <w:r>
        <w:separator/>
      </w:r>
    </w:p>
  </w:endnote>
  <w:endnote w:type="continuationSeparator" w:id="0">
    <w:p w:rsidR="00B12D57" w:rsidRDefault="00B12D57" w:rsidP="0096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511932"/>
      <w:docPartObj>
        <w:docPartGallery w:val="Page Numbers (Bottom of Page)"/>
        <w:docPartUnique/>
      </w:docPartObj>
    </w:sdtPr>
    <w:sdtEndPr/>
    <w:sdtContent>
      <w:p w:rsidR="0096430E" w:rsidRDefault="00FC118A">
        <w:pPr>
          <w:pStyle w:val="a8"/>
          <w:jc w:val="right"/>
        </w:pPr>
        <w:r>
          <w:fldChar w:fldCharType="begin"/>
        </w:r>
        <w:r w:rsidR="0096430E">
          <w:instrText>PAGE   \* MERGEFORMAT</w:instrText>
        </w:r>
        <w:r>
          <w:fldChar w:fldCharType="separate"/>
        </w:r>
        <w:r w:rsidR="00DB41AE">
          <w:rPr>
            <w:noProof/>
          </w:rPr>
          <w:t>2</w:t>
        </w:r>
        <w:r>
          <w:fldChar w:fldCharType="end"/>
        </w:r>
      </w:p>
    </w:sdtContent>
  </w:sdt>
  <w:p w:rsidR="0096430E" w:rsidRDefault="00964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57" w:rsidRDefault="00B12D57" w:rsidP="0096430E">
      <w:pPr>
        <w:spacing w:after="0" w:line="240" w:lineRule="auto"/>
      </w:pPr>
      <w:r>
        <w:separator/>
      </w:r>
    </w:p>
  </w:footnote>
  <w:footnote w:type="continuationSeparator" w:id="0">
    <w:p w:rsidR="00B12D57" w:rsidRDefault="00B12D57" w:rsidP="00964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AE"/>
    <w:rsid w:val="00020E89"/>
    <w:rsid w:val="00177DCE"/>
    <w:rsid w:val="001B46B0"/>
    <w:rsid w:val="00226C49"/>
    <w:rsid w:val="0029662B"/>
    <w:rsid w:val="0030362B"/>
    <w:rsid w:val="0033686E"/>
    <w:rsid w:val="003569DB"/>
    <w:rsid w:val="003E5C6B"/>
    <w:rsid w:val="00424573"/>
    <w:rsid w:val="004560E5"/>
    <w:rsid w:val="00487A10"/>
    <w:rsid w:val="004F63BE"/>
    <w:rsid w:val="005036D4"/>
    <w:rsid w:val="005541E6"/>
    <w:rsid w:val="00571A8C"/>
    <w:rsid w:val="005D11C3"/>
    <w:rsid w:val="005D2BBB"/>
    <w:rsid w:val="0063138A"/>
    <w:rsid w:val="006411E3"/>
    <w:rsid w:val="006515CC"/>
    <w:rsid w:val="00671FBA"/>
    <w:rsid w:val="00733CFA"/>
    <w:rsid w:val="0073570C"/>
    <w:rsid w:val="007D7F02"/>
    <w:rsid w:val="00837FFA"/>
    <w:rsid w:val="008442E1"/>
    <w:rsid w:val="008B00EB"/>
    <w:rsid w:val="008D0A63"/>
    <w:rsid w:val="008F37AE"/>
    <w:rsid w:val="0096430E"/>
    <w:rsid w:val="009A681B"/>
    <w:rsid w:val="00A61EEE"/>
    <w:rsid w:val="00AF3218"/>
    <w:rsid w:val="00B12D57"/>
    <w:rsid w:val="00BE73D5"/>
    <w:rsid w:val="00C02E59"/>
    <w:rsid w:val="00C21E00"/>
    <w:rsid w:val="00C424D8"/>
    <w:rsid w:val="00D13E91"/>
    <w:rsid w:val="00D3511D"/>
    <w:rsid w:val="00D55714"/>
    <w:rsid w:val="00D879D4"/>
    <w:rsid w:val="00DB41AE"/>
    <w:rsid w:val="00E1055E"/>
    <w:rsid w:val="00E7252F"/>
    <w:rsid w:val="00EC76FD"/>
    <w:rsid w:val="00ED692E"/>
    <w:rsid w:val="00F53F63"/>
    <w:rsid w:val="00F82475"/>
    <w:rsid w:val="00FC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30E"/>
  </w:style>
  <w:style w:type="paragraph" w:styleId="a8">
    <w:name w:val="footer"/>
    <w:basedOn w:val="a"/>
    <w:link w:val="a9"/>
    <w:uiPriority w:val="99"/>
    <w:unhideWhenUsed/>
    <w:rsid w:val="0096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30E"/>
  </w:style>
  <w:style w:type="paragraph" w:styleId="a8">
    <w:name w:val="footer"/>
    <w:basedOn w:val="a"/>
    <w:link w:val="a9"/>
    <w:uiPriority w:val="99"/>
    <w:unhideWhenUsed/>
    <w:rsid w:val="00964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Админ</cp:lastModifiedBy>
  <cp:revision>2</cp:revision>
  <cp:lastPrinted>2020-08-24T13:53:00Z</cp:lastPrinted>
  <dcterms:created xsi:type="dcterms:W3CDTF">2020-08-24T13:58:00Z</dcterms:created>
  <dcterms:modified xsi:type="dcterms:W3CDTF">2020-08-24T13:58:00Z</dcterms:modified>
</cp:coreProperties>
</file>